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47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关于《独山子区工业经济高质量发展“十五五”专项规划》的起草说明</w:t>
      </w:r>
    </w:p>
    <w:p w14:paraId="3102D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F73D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一、背景依据</w:t>
      </w:r>
    </w:p>
    <w:p w14:paraId="016C0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为深入贯彻新时代党的治疆方略，全面落实克拉玛依市“工业强市”战略及“13421”发展思路，紧紧围绕独山子区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打造全国一流现代化石化基地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的发展定位，根据《独山子区国民经济和社会发展第十五个五年规划纲要》，制定本规划，为独山子区“十五五”期间工业经济高质量发展提供行动纲领。</w:t>
      </w:r>
      <w:bookmarkStart w:id="0" w:name="_GoBack"/>
      <w:bookmarkEnd w:id="0"/>
    </w:p>
    <w:p w14:paraId="239DB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二、主要内容</w:t>
      </w:r>
    </w:p>
    <w:p w14:paraId="6F92C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《规划》共分为发展基础与环境、总体要求、产业发展重点方向、创新驱动、智改数转、绿色安全、产业生态等八个部分。</w:t>
      </w:r>
    </w:p>
    <w:p w14:paraId="20F4D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第一，发展基础与环境。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阐述了“十四五”期间独山子区工业发展成就，包括工业经济规模、龙头引领作用、产学研协同、骨干企业培优、油地融合等方面取得的成效。同时，提出了产业结构单一、产业链延伸不足、要素保障短板、绿色转型压力等存在问题，以及“十五五”时期面临的宏观环境、行业趋势、区域格局和机遇挑战。</w:t>
      </w:r>
    </w:p>
    <w:p w14:paraId="59463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第二，总体要求。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了指导思想、基本原则、发展定位和发展目标。发展定位为打造全国一流现代化石化基地，从规模效益、产业结构、创新驱动、绿色智能四个方面提出定性或定量的目标，包括全区工业总产值力争突破700亿元、规上工业增加值年均增长3%左右、高新技术企业不低于30家、累计培育智能工厂8家等。</w:t>
      </w:r>
    </w:p>
    <w:p w14:paraId="546F6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第三，做强核心主导产业。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炼油、树脂、橡胶、碳基新材料四大板块，推动产业链向高端化、终端化迈进。做优炼油产业，实施炼油适应性改造，提升航煤产能，延伸硫磺资源价值链；做大高端树脂产业，加快POE、EVA等产品开发，前瞻布局COC、EVOH等前沿材料；做强特色橡胶产业，发展官能化溶聚丁苯橡胶、液体橡胶、三元乙丙橡胶等高端产品；培育壮大碳基新材料产业，推进高性能碳纤维、包覆沥青、特种炭黑等项目，打造碳纤维复合材料产业基地。</w:t>
      </w:r>
    </w:p>
    <w:p w14:paraId="043E1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第四，推动产业链向下延伸与多元拓展。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延伸发展下游终端制品，围绕高端膜材料、改性塑料、高性能轮胎、风电叶片等领域引进终端项目；培育发展精细化工，积极拓展农用化学品、油田化学品、电子化学品等精细化工新赛道；拓展多元制造领域，发展绿色包装、新型建材、食品加工、资源循环利用、装备维保等产业，丰富产业生态。</w:t>
      </w:r>
    </w:p>
    <w:p w14:paraId="5F987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第五，强化科技创新引领。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提升企业技术创新能力，建强高能级创新平台，加强关键核心技术攻关，突破高端聚烯烃、高性能橡胶、碳基新材料等领域技术瓶颈，支持裂解碳九制备石油树脂等关键技术攻关及产业化。</w:t>
      </w:r>
    </w:p>
    <w:p w14:paraId="05E13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第六，高标准推进智改数转。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梯度培育智能工厂，深化工业领域智能化应用，夯实新型数字基础设施，推动人工智能、工业互联网与石油石化产业深度融合，到2030年累计培育智能工厂8家。</w:t>
      </w:r>
    </w:p>
    <w:p w14:paraId="1485C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第七，聚焦绿色安全发展。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有序推进工业碳达峰，推动新能源与石化产业耦合发展，实施光伏熔盐储能、绿电替代、电裂解炉示范等工程，推动产业节能降碳改造，提升本质安全水平。</w:t>
      </w:r>
    </w:p>
    <w:p w14:paraId="41650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第八，优化产业发展生态。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深化油地深度融合发展，培育壮大优质企业梯队，持续优化营商环境，提升园区综合承载能力，强化土地、资金、人才等生产要素保障。</w:t>
      </w:r>
    </w:p>
    <w:sectPr>
      <w:pgSz w:w="11906" w:h="16838"/>
      <w:pgMar w:top="226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BE12FA-C8CB-4F8D-A50D-EE43AE835BE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24102D8-31C3-4388-BDF0-D445C441D12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9A9822E-6324-4E7A-A610-34D3986A9E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73DEA"/>
    <w:rsid w:val="407D110C"/>
    <w:rsid w:val="47C54D69"/>
    <w:rsid w:val="554B6E3A"/>
    <w:rsid w:val="625A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1194</Words>
  <Characters>1216</Characters>
  <Lines>0</Lines>
  <Paragraphs>0</Paragraphs>
  <TotalTime>10</TotalTime>
  <ScaleCrop>false</ScaleCrop>
  <LinksUpToDate>false</LinksUpToDate>
  <CharactersWithSpaces>1216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2026-06-15T04:20:00Z</dcterms:created>
  <dc:creator>Administrator</dc:creator>
  <cp:lastModifiedBy>坎坎坎坎</cp:lastModifiedBy>
  <dcterms:modified xsi:type="dcterms:W3CDTF">2026-06-15T04:44:34Z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eyJoZGlkIjoiNzE0N2JiYWNkOGVjMjBjMWQwN2JmNTJlYWM4MDk1ZWIiLCJ1c2VySWQiOiIxNDk3NTk2NTY1In0=</vt:lpwstr>
  </property>
  <property fmtid="{D5CDD505-2E9C-101B-9397-08002B2CF9AE}" pid="4" name="ICV">
    <vt:lpwstr>2DF94964B1054E66841AA7C57BC4F105_12</vt:lpwstr>
  </property>
</Properties>
</file>