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独山子区政府投资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管理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办法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》起草说明</w:t>
      </w:r>
    </w:p>
    <w:p w14:paraId="3C81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DC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一、制定必要性</w:t>
      </w:r>
    </w:p>
    <w:p w14:paraId="4C13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进一步明确界定政府投资项目的范围、规范政府投资决策程序、优化政府投资报批流程、严格项目实施及事中事后监管，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对政府投资项目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《政府投资条例》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《克拉玛依市政府投资项目管理办法》及有关法律、行政法规规定，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  <w:t>结合实际，制定本</w:t>
      </w:r>
      <w:r>
        <w:rPr>
          <w:rFonts w:hint="eastAsia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eastAsia="zh-CN"/>
        </w:rPr>
        <w:t>。</w:t>
      </w:r>
    </w:p>
    <w:p w14:paraId="755D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按照目前国家、自治区陆续印发了《中央预算内投资项目监督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管理办法》（国家发展改革委2024年10号令，2024年2月）、《新疆维吾尔自治区预算内投资项目管理办法》（新发改规[2023]1号）、《自治区发展改革委关于规范全区政府投资项目审批权限的通知》（新发改投资[2024]112号）等法律法规及政策，对办法中的投资项目决策、投资项目储备申报、投资项目前期审查审核、投资项目年度投资计划审核等重要环节程序进行了研究。为更好发挥投资项目的关键作用，提升投资项目前期工作质量和效率，切实落实投资项目全生命周期管理要求，初步形成了《独山子区政府投资项目管理办法（试行）》（区政府行政规范性文件，征求意见稿）。</w:t>
      </w:r>
    </w:p>
    <w:p w14:paraId="4744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依据</w:t>
      </w:r>
    </w:p>
    <w:p w14:paraId="766F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《政府投资条例》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《克拉玛依市政府投资项目管理办法》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，制定本办法。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（以下简称“管理办法”）</w:t>
      </w:r>
    </w:p>
    <w:p w14:paraId="7778E5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21"/>
          <w:u w:val="none" w:color="000000"/>
          <w:shd w:val="clear" w:color="auto" w:fill="auto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21"/>
          <w:u w:val="none" w:color="000000"/>
          <w:shd w:val="clear" w:color="auto" w:fill="auto"/>
          <w:vertAlign w:val="baseline"/>
          <w:lang w:val="en-US" w:eastAsia="zh-CN"/>
        </w:rPr>
        <w:t>第一条参照</w:t>
      </w:r>
      <w:r>
        <w:rPr>
          <w:rFonts w:hint="default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政府投资条例</w:t>
      </w:r>
      <w:r>
        <w:rPr>
          <w:rFonts w:hint="default" w:ascii="仿宋_GB2312" w:eastAsia="仿宋_GB2312"/>
          <w:sz w:val="32"/>
          <w:szCs w:val="32"/>
          <w:highlight w:val="none"/>
        </w:rPr>
        <w:t>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第一条和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《克拉玛依市政府投资项目管理办法》第一条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2"/>
          <w:position w:val="0"/>
          <w:sz w:val="32"/>
          <w:szCs w:val="21"/>
          <w:u w:val="none" w:color="000000"/>
          <w:shd w:val="clear" w:color="auto" w:fill="auto"/>
          <w:vertAlign w:val="baseline"/>
          <w:lang w:val="en-US" w:eastAsia="zh-CN"/>
        </w:rPr>
        <w:t>制定。</w:t>
      </w:r>
    </w:p>
    <w:p w14:paraId="0374DB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（二）第二条参照</w:t>
      </w:r>
      <w:r>
        <w:rPr>
          <w:rFonts w:hint="default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政府投资条例</w:t>
      </w:r>
      <w:r>
        <w:rPr>
          <w:rFonts w:hint="default" w:ascii="仿宋_GB2312" w:eastAsia="仿宋_GB2312"/>
          <w:sz w:val="32"/>
          <w:szCs w:val="32"/>
          <w:highlight w:val="none"/>
        </w:rPr>
        <w:t>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全文进行总结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1D120C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（三）第三条参照</w:t>
      </w:r>
      <w:r>
        <w:rPr>
          <w:rFonts w:hint="default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政府投资条例</w:t>
      </w:r>
      <w:r>
        <w:rPr>
          <w:rFonts w:hint="default" w:ascii="仿宋_GB2312" w:eastAsia="仿宋_GB2312"/>
          <w:sz w:val="32"/>
          <w:szCs w:val="32"/>
          <w:highlight w:val="none"/>
        </w:rPr>
        <w:t>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第二条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制定。</w:t>
      </w:r>
    </w:p>
    <w:p w14:paraId="6F33EB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制定。</w:t>
      </w:r>
    </w:p>
    <w:p w14:paraId="58AC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条参照</w:t>
      </w:r>
      <w:r>
        <w:rPr>
          <w:rFonts w:hint="default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政府投资条例</w:t>
      </w:r>
      <w:r>
        <w:rPr>
          <w:rFonts w:hint="default" w:ascii="仿宋_GB2312" w:eastAsia="仿宋_GB2312"/>
          <w:sz w:val="32"/>
          <w:szCs w:val="32"/>
          <w:highlight w:val="none"/>
        </w:rPr>
        <w:t>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第三条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第三条、第四条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制定。</w:t>
      </w:r>
    </w:p>
    <w:p w14:paraId="5552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第六条参照《政府投资条例》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第二十八条、第三十一条和《克拉玛依市政府投资项目管理办法》第四十六条至第五十二条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制定。</w:t>
      </w:r>
    </w:p>
    <w:p w14:paraId="0225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472A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6001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7E11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《克拉玛依市政府投资项目管理办法》第十九条、第二十条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677C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67D0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第六条、第九条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《克拉玛依市政府投资项目管理办法》第四条、第二十一条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010D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第九条、第十二条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《克拉玛依市政府投资项目管理办法》第二十一条至第二十四条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7CEC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00C2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4EBB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0781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422F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《克拉玛依市政府投资项目管理办法》第二十八条、第二十九条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2895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《政府投资条例》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国务院令第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712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、第二十八条、第三十一条和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《克拉玛依市政府投资项目管理办法》第四十六条、第四十七条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3C21C2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《克拉玛依市政府投资项目管理办法》第五十九条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制定。</w:t>
      </w:r>
    </w:p>
    <w:p w14:paraId="032A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三、起草过程</w:t>
      </w:r>
    </w:p>
    <w:p w14:paraId="14EE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2025年1</w:t>
      </w:r>
      <w:r>
        <w:rPr>
          <w:rFonts w:hint="eastAsia" w:ascii="仿宋_GB2312" w:eastAsia="仿宋_GB2312"/>
          <w:sz w:val="32"/>
          <w:szCs w:val="32"/>
          <w:highlight w:val="none"/>
        </w:rPr>
        <w:t>月，区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发改委</w:t>
      </w:r>
      <w:r>
        <w:rPr>
          <w:rFonts w:hint="eastAsia" w:ascii="仿宋_GB2312" w:eastAsia="仿宋_GB2312"/>
          <w:sz w:val="32"/>
          <w:szCs w:val="32"/>
          <w:highlight w:val="none"/>
        </w:rPr>
        <w:t>启动《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办法</w:t>
      </w:r>
      <w:r>
        <w:rPr>
          <w:rFonts w:hint="eastAsia" w:ascii="仿宋_GB2312" w:eastAsia="仿宋_GB2312"/>
          <w:sz w:val="32"/>
          <w:szCs w:val="32"/>
          <w:highlight w:val="none"/>
        </w:rPr>
        <w:t>》的编制工作。</w:t>
      </w:r>
    </w:p>
    <w:p w14:paraId="0518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2025年7</w:t>
      </w:r>
      <w:r>
        <w:rPr>
          <w:rFonts w:hint="eastAsia" w:ascii="仿宋_GB2312" w:eastAsia="仿宋_GB2312"/>
          <w:sz w:val="32"/>
          <w:szCs w:val="32"/>
          <w:highlight w:val="none"/>
        </w:rPr>
        <w:t>月，完成初稿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内征集意见并修改完善。</w:t>
      </w:r>
    </w:p>
    <w:p w14:paraId="41B2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月，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区委书记召开专题会，对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办法</w:t>
      </w:r>
      <w:r>
        <w:rPr>
          <w:rFonts w:hint="eastAsia" w:ascii="仿宋_GB2312" w:eastAsia="仿宋_GB2312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中项目申报的流程进一步明确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6592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2026年2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在腾讯通文书群内征求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全区各单位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意见，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各单位均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  <w:t>反馈“无意见”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6CBD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10日，《管理办法》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报分管区领导审核研究同意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在政府常务会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审议。</w:t>
      </w:r>
    </w:p>
    <w:p w14:paraId="3939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，在互联网上征求群众意见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5597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四、主要内容</w:t>
      </w:r>
    </w:p>
    <w:p w14:paraId="0932A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办法</w:t>
      </w:r>
      <w:r>
        <w:rPr>
          <w:rFonts w:hint="eastAsia" w:ascii="仿宋_GB2312" w:eastAsia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规范了我区政府投资行为、提升投资效益、防范廉政风险的一项重要制度成果，标志着我区政府投资项目管理进入更加制度化、规范化、精细化的新阶段。</w:t>
      </w:r>
    </w:p>
    <w:p w14:paraId="3454D6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37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2E0CD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独山子区发改委</w:t>
      </w:r>
    </w:p>
    <w:p w14:paraId="25BF1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2026年2月12日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B78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D6E866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6E866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699F2"/>
    <w:multiLevelType w:val="singleLevel"/>
    <w:tmpl w:val="E11699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34F0AA"/>
    <w:multiLevelType w:val="singleLevel"/>
    <w:tmpl w:val="5934F0AA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26290"/>
    <w:rsid w:val="054130B7"/>
    <w:rsid w:val="11C633E5"/>
    <w:rsid w:val="140E7B52"/>
    <w:rsid w:val="287F329F"/>
    <w:rsid w:val="2DBA2061"/>
    <w:rsid w:val="4A863450"/>
    <w:rsid w:val="512E7B10"/>
    <w:rsid w:val="52C44A6A"/>
    <w:rsid w:val="5A741617"/>
    <w:rsid w:val="5BDA3DC2"/>
    <w:rsid w:val="6581475E"/>
    <w:rsid w:val="6FE444B8"/>
    <w:rsid w:val="70D158DA"/>
    <w:rsid w:val="71926290"/>
    <w:rsid w:val="7292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color w:val="000000"/>
      <w:sz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 w:eastAsia="宋体" w:cs="Courier New"/>
      <w:szCs w:val="21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2025-02-07T03:57:00Z</dcterms:created>
  <dc:creator>Administrator</dc:creator>
  <cp:lastModifiedBy>Administrator</cp:lastModifiedBy>
  <dcterms:modified xsi:type="dcterms:W3CDTF">2026-03-11T07:53:55Z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D75682B8124140EE8D225DDC2EB643EB_12</vt:lpwstr>
  </property>
</Properties>
</file>